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1f497d"/>
          <w:sz w:val="20"/>
          <w:szCs w:val="20"/>
          <w:highlight w:val="white"/>
          <w:rtl w:val="0"/>
        </w:rPr>
        <w:t xml:space="preserve">State Student Case Competition Toolkit on SHRM’s VLRC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https://community.shrm.org/vlrc/leadership/core-leadership-areas/college-relations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mmunity.shrm.org/vlrc/leadership/core-leadership-areas/college-re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